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CC09CD">
        <w:rPr>
          <w:b/>
          <w:sz w:val="32"/>
          <w:szCs w:val="32"/>
        </w:rPr>
        <w:t>122</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D11D5" w:rsidRDefault="007113F8" w:rsidP="008B455D">
            <w:pPr>
              <w:snapToGrid w:val="0"/>
              <w:rPr>
                <w:rFonts w:ascii="Arial" w:eastAsia="Arial" w:hAnsi="Arial" w:cs="Arial"/>
                <w:b/>
                <w:bCs/>
                <w:sz w:val="20"/>
                <w:szCs w:val="20"/>
              </w:rPr>
            </w:pPr>
            <w:r w:rsidRPr="006D11D5">
              <w:rPr>
                <w:rFonts w:ascii="Arial" w:hAnsi="Arial"/>
                <w:b/>
                <w:sz w:val="20"/>
                <w:szCs w:val="20"/>
              </w:rPr>
              <w:t>91004120928</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D11D5" w:rsidRDefault="007113F8" w:rsidP="008B455D">
            <w:pPr>
              <w:snapToGrid w:val="0"/>
              <w:rPr>
                <w:rFonts w:ascii="Arial" w:eastAsia="Arial" w:hAnsi="Arial" w:cs="Arial"/>
                <w:b/>
                <w:bCs/>
                <w:sz w:val="20"/>
                <w:szCs w:val="20"/>
              </w:rPr>
            </w:pPr>
            <w:r w:rsidRPr="006D11D5">
              <w:rPr>
                <w:rFonts w:ascii="Arial" w:hAnsi="Arial"/>
                <w:b/>
                <w:sz w:val="20"/>
                <w:szCs w:val="20"/>
              </w:rPr>
              <w:t>94751714059</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113F8" w:rsidRDefault="006030FE" w:rsidP="008B455D">
            <w:pPr>
              <w:snapToGrid w:val="0"/>
              <w:rPr>
                <w:rFonts w:ascii="Arial" w:eastAsia="Arial" w:hAnsi="Arial" w:cs="Arial"/>
                <w:b/>
                <w:bCs/>
                <w:sz w:val="20"/>
                <w:szCs w:val="20"/>
              </w:rPr>
            </w:pPr>
            <w:r w:rsidRPr="006030FE">
              <w:rPr>
                <w:rFonts w:ascii="Arial" w:hAnsi="Arial"/>
                <w:b/>
                <w:sz w:val="20"/>
                <w:szCs w:val="20"/>
              </w:rPr>
              <w:t>Parrocchia San Pietro Apostolo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7113F8">
            <w:pPr>
              <w:snapToGrid w:val="0"/>
              <w:rPr>
                <w:rFonts w:ascii="Arial" w:hAnsi="Arial"/>
                <w:b/>
                <w:sz w:val="20"/>
                <w:szCs w:val="20"/>
              </w:rPr>
            </w:pPr>
            <w:r w:rsidRPr="007B218A">
              <w:rPr>
                <w:rFonts w:ascii="Arial" w:hAnsi="Arial"/>
                <w:b/>
                <w:sz w:val="20"/>
                <w:szCs w:val="20"/>
              </w:rPr>
              <w:t xml:space="preserve">€ </w:t>
            </w:r>
            <w:r w:rsidR="007113F8">
              <w:rPr>
                <w:rFonts w:ascii="Arial" w:hAnsi="Arial"/>
                <w:b/>
                <w:sz w:val="20"/>
                <w:szCs w:val="20"/>
              </w:rPr>
              <w:t>26</w:t>
            </w:r>
            <w:r>
              <w:rPr>
                <w:rFonts w:ascii="Arial" w:hAnsi="Arial"/>
                <w:b/>
                <w:sz w:val="20"/>
                <w:szCs w:val="20"/>
              </w:rPr>
              <w:t>.</w:t>
            </w:r>
            <w:r w:rsidR="007113F8">
              <w:rPr>
                <w:rFonts w:ascii="Arial" w:hAnsi="Arial"/>
                <w:b/>
                <w:sz w:val="20"/>
                <w:szCs w:val="20"/>
              </w:rPr>
              <w:t>870</w:t>
            </w:r>
            <w:r>
              <w:rPr>
                <w:rFonts w:ascii="Arial" w:hAnsi="Arial"/>
                <w:b/>
                <w:sz w:val="20"/>
                <w:szCs w:val="20"/>
              </w:rPr>
              <w:t>,</w:t>
            </w:r>
            <w:r w:rsidR="00FF393D">
              <w:rPr>
                <w:rFonts w:ascii="Arial" w:hAnsi="Arial"/>
                <w:b/>
                <w:sz w:val="20"/>
                <w:szCs w:val="20"/>
              </w:rPr>
              <w:t>21</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F20430">
              <w:rPr>
                <w:rFonts w:ascii="Arial" w:hAnsi="Arial"/>
                <w:b/>
                <w:sz w:val="20"/>
                <w:szCs w:val="20"/>
              </w:rPr>
              <w:t>15</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A0F57" w:rsidP="00B04810">
            <w:pPr>
              <w:pStyle w:val="a0"/>
              <w:widowControl/>
              <w:suppressAutoHyphens/>
              <w:rPr>
                <w:rFonts w:ascii="Arial" w:hAnsi="Arial"/>
                <w:b/>
                <w:sz w:val="22"/>
                <w:szCs w:val="22"/>
              </w:rPr>
            </w:pPr>
          </w:p>
          <w:p w:rsidR="002A0F57" w:rsidRPr="006D11D5" w:rsidRDefault="006D11D5" w:rsidP="00C11C2E">
            <w:pPr>
              <w:pStyle w:val="a0"/>
              <w:widowControl/>
              <w:suppressAutoHyphens/>
              <w:rPr>
                <w:rFonts w:ascii="Arial" w:hAnsi="Arial"/>
                <w:b/>
                <w:sz w:val="22"/>
                <w:szCs w:val="22"/>
              </w:rPr>
            </w:pPr>
            <w:r w:rsidRPr="006D11D5">
              <w:rPr>
                <w:rFonts w:ascii="Arial" w:hAnsi="Arial"/>
                <w:b/>
                <w:sz w:val="22"/>
                <w:szCs w:val="22"/>
              </w:rPr>
              <w:t>Rifacimento copertura.</w:t>
            </w:r>
          </w:p>
          <w:p w:rsidR="006D11D5" w:rsidRPr="006D11D5" w:rsidRDefault="006D11D5" w:rsidP="006D11D5">
            <w:pPr>
              <w:pStyle w:val="Corpotesto"/>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E825BC" w:rsidP="008B455D">
            <w:pPr>
              <w:snapToGrid w:val="0"/>
              <w:rPr>
                <w:rFonts w:ascii="Arial" w:hAnsi="Arial"/>
                <w:b/>
                <w:sz w:val="20"/>
                <w:szCs w:val="20"/>
              </w:rPr>
            </w:pPr>
            <w:r>
              <w:rPr>
                <w:rFonts w:ascii="Arial" w:hAnsi="Arial"/>
                <w:b/>
                <w:sz w:val="20"/>
                <w:szCs w:val="20"/>
              </w:rPr>
              <w:t>F76G13001760004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FF0054" w:rsidP="00FF0054">
            <w:pPr>
              <w:snapToGrid w:val="0"/>
              <w:rPr>
                <w:rFonts w:ascii="Arial" w:hAnsi="Arial"/>
                <w:b/>
                <w:bCs/>
                <w:sz w:val="20"/>
                <w:szCs w:val="20"/>
              </w:rPr>
            </w:pPr>
            <w:r>
              <w:rPr>
                <w:rFonts w:ascii="Arial" w:hAnsi="Arial"/>
                <w:b/>
                <w:bCs/>
                <w:sz w:val="20"/>
                <w:szCs w:val="20"/>
              </w:rPr>
              <w:t>24</w:t>
            </w:r>
            <w:r w:rsidR="002A0F57" w:rsidRPr="00FF0054">
              <w:rPr>
                <w:rFonts w:ascii="Arial" w:hAnsi="Arial"/>
                <w:b/>
                <w:bCs/>
                <w:sz w:val="20"/>
                <w:szCs w:val="20"/>
              </w:rPr>
              <w:t>/</w:t>
            </w:r>
            <w:r>
              <w:rPr>
                <w:rFonts w:ascii="Arial" w:hAnsi="Arial"/>
                <w:b/>
                <w:bCs/>
                <w:sz w:val="20"/>
                <w:szCs w:val="20"/>
              </w:rPr>
              <w:t>1</w:t>
            </w:r>
            <w:r w:rsidR="002A0F57" w:rsidRPr="00FF0054">
              <w:rPr>
                <w:rFonts w:ascii="Arial" w:hAnsi="Arial"/>
                <w:b/>
                <w:bCs/>
                <w:sz w:val="20"/>
                <w:szCs w:val="20"/>
              </w:rPr>
              <w:t>0</w:t>
            </w:r>
            <w:r>
              <w:rPr>
                <w:rFonts w:ascii="Arial" w:hAnsi="Arial"/>
                <w:b/>
                <w:bCs/>
                <w:sz w:val="20"/>
                <w:szCs w:val="20"/>
              </w:rPr>
              <w:t xml:space="preserve">/2013 </w:t>
            </w:r>
            <w:proofErr w:type="spellStart"/>
            <w:r>
              <w:rPr>
                <w:rFonts w:ascii="Arial" w:hAnsi="Arial"/>
                <w:b/>
                <w:bCs/>
                <w:sz w:val="20"/>
                <w:szCs w:val="20"/>
              </w:rPr>
              <w:t>Prot</w:t>
            </w:r>
            <w:proofErr w:type="spellEnd"/>
            <w:r>
              <w:rPr>
                <w:rFonts w:ascii="Arial" w:hAnsi="Arial"/>
                <w:b/>
                <w:bCs/>
                <w:sz w:val="20"/>
                <w:szCs w:val="20"/>
              </w:rPr>
              <w:t>. N° 2062</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CB2300">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CB2300">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CB2300">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ED7EB5" w:rsidRDefault="00831FF9" w:rsidP="00ED7EB5">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1FF1">
        <w:rPr>
          <w:rFonts w:ascii="Arial" w:hAnsi="Arial" w:cs="Arial"/>
          <w:b/>
          <w:bCs/>
          <w:sz w:val="20"/>
          <w:szCs w:val="20"/>
        </w:rPr>
        <w:t xml:space="preserve"> </w:t>
      </w:r>
      <w:r w:rsidR="007B351C" w:rsidRPr="006D11D5">
        <w:rPr>
          <w:rFonts w:ascii="Arial" w:hAnsi="Arial"/>
          <w:b/>
          <w:sz w:val="20"/>
          <w:szCs w:val="20"/>
        </w:rPr>
        <w:t>94751714059</w:t>
      </w:r>
      <w:r w:rsidR="007B351C">
        <w:rPr>
          <w:rFonts w:ascii="Arial" w:hAnsi="Arial"/>
          <w:b/>
          <w:sz w:val="20"/>
          <w:szCs w:val="20"/>
        </w:rPr>
        <w:t xml:space="preserve"> </w:t>
      </w:r>
      <w:r w:rsidRPr="007229C1">
        <w:rPr>
          <w:rFonts w:ascii="Arial" w:hAnsi="Arial" w:cs="Arial"/>
          <w:bCs/>
          <w:sz w:val="20"/>
          <w:szCs w:val="20"/>
        </w:rPr>
        <w:t>CUAA</w:t>
      </w:r>
      <w:r w:rsidR="00827418">
        <w:rPr>
          <w:rFonts w:ascii="Arial" w:hAnsi="Arial" w:cs="Arial"/>
          <w:bCs/>
          <w:sz w:val="20"/>
          <w:szCs w:val="20"/>
        </w:rPr>
        <w:t xml:space="preserve"> </w:t>
      </w:r>
      <w:r w:rsidR="00275A99" w:rsidRPr="006D11D5">
        <w:rPr>
          <w:rFonts w:ascii="Arial" w:hAnsi="Arial"/>
          <w:b/>
          <w:sz w:val="20"/>
          <w:szCs w:val="20"/>
        </w:rPr>
        <w:t>91004120928</w:t>
      </w:r>
      <w:r w:rsidR="00E91FF1"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BF5491">
        <w:rPr>
          <w:rFonts w:ascii="Arial" w:hAnsi="Arial"/>
          <w:sz w:val="20"/>
          <w:szCs w:val="20"/>
        </w:rPr>
        <w:t>04</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E425FE">
        <w:rPr>
          <w:rFonts w:ascii="Arial" w:hAnsi="Arial"/>
          <w:sz w:val="20"/>
          <w:szCs w:val="20"/>
        </w:rPr>
        <w:t>3</w:t>
      </w:r>
      <w:r w:rsidR="00BF5491">
        <w:rPr>
          <w:rFonts w:ascii="Arial" w:hAnsi="Arial"/>
          <w:sz w:val="20"/>
          <w:szCs w:val="20"/>
        </w:rPr>
        <w:t>84</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2162CF">
        <w:rPr>
          <w:rFonts w:ascii="Arial" w:hAnsi="Arial" w:cs="Arial"/>
          <w:sz w:val="20"/>
          <w:szCs w:val="20"/>
        </w:rPr>
        <w:t>la</w:t>
      </w:r>
      <w:r w:rsidR="002E4F79">
        <w:rPr>
          <w:rFonts w:ascii="Arial" w:hAnsi="Arial" w:cs="Arial"/>
          <w:sz w:val="20"/>
          <w:szCs w:val="20"/>
        </w:rPr>
        <w:t xml:space="preserve"> </w:t>
      </w:r>
      <w:r w:rsidR="00DD18D1" w:rsidRPr="00DD18D1">
        <w:rPr>
          <w:rFonts w:ascii="Arial" w:hAnsi="Arial"/>
          <w:b/>
          <w:sz w:val="20"/>
          <w:szCs w:val="20"/>
        </w:rPr>
        <w:t>Parrocchia San Pietro Apostolo</w:t>
      </w:r>
      <w:r w:rsidR="00DD18D1">
        <w:rPr>
          <w:rFonts w:ascii="Arial" w:hAnsi="Arial"/>
          <w:b/>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7B351C" w:rsidRPr="006D11D5">
        <w:rPr>
          <w:rFonts w:ascii="Arial" w:hAnsi="Arial"/>
          <w:b/>
          <w:sz w:val="20"/>
          <w:szCs w:val="20"/>
        </w:rPr>
        <w:t>94751714059</w:t>
      </w:r>
      <w:r w:rsidRPr="00A3175C">
        <w:rPr>
          <w:rFonts w:ascii="Arial" w:hAnsi="Arial" w:cs="Arial"/>
          <w:sz w:val="20"/>
          <w:szCs w:val="20"/>
        </w:rPr>
        <w:t xml:space="preserve"> </w:t>
      </w:r>
      <w:r w:rsidRPr="00A3175C">
        <w:rPr>
          <w:rFonts w:ascii="Arial" w:eastAsia="Times New Roman" w:hAnsi="Arial" w:cs="Arial"/>
          <w:bCs/>
          <w:sz w:val="20"/>
          <w:szCs w:val="20"/>
        </w:rPr>
        <w:t>CUAA</w:t>
      </w:r>
      <w:r w:rsidR="00130948" w:rsidRPr="00A3175C">
        <w:rPr>
          <w:rFonts w:ascii="Arial" w:hAnsi="Arial"/>
          <w:b/>
          <w:sz w:val="20"/>
          <w:szCs w:val="20"/>
        </w:rPr>
        <w:t xml:space="preserve"> </w:t>
      </w:r>
      <w:r w:rsidR="00275A99" w:rsidRPr="006D11D5">
        <w:rPr>
          <w:rFonts w:ascii="Arial" w:hAnsi="Arial"/>
          <w:b/>
          <w:sz w:val="20"/>
          <w:szCs w:val="20"/>
        </w:rPr>
        <w:t>91004120928</w:t>
      </w:r>
      <w:r w:rsidR="00E91FF1" w:rsidRPr="00A3175C">
        <w:rPr>
          <w:rFonts w:ascii="Arial" w:hAnsi="Arial" w:cs="Arial"/>
          <w:sz w:val="20"/>
          <w:szCs w:val="20"/>
        </w:rPr>
        <w:t xml:space="preserve"> </w:t>
      </w:r>
      <w:r w:rsidRPr="00A3175C">
        <w:rPr>
          <w:rFonts w:ascii="Arial" w:hAnsi="Arial" w:cs="Arial"/>
          <w:sz w:val="20"/>
          <w:szCs w:val="20"/>
        </w:rPr>
        <w:t xml:space="preserve">presentato in data </w:t>
      </w:r>
      <w:r w:rsidR="00003151">
        <w:rPr>
          <w:rFonts w:ascii="Arial" w:hAnsi="Arial" w:cs="Arial"/>
          <w:sz w:val="20"/>
          <w:szCs w:val="20"/>
        </w:rPr>
        <w:t>24</w:t>
      </w:r>
      <w:r w:rsidRPr="00A3175C">
        <w:rPr>
          <w:rFonts w:ascii="Arial" w:hAnsi="Arial" w:cs="Arial"/>
          <w:sz w:val="20"/>
          <w:szCs w:val="20"/>
        </w:rPr>
        <w:t>/0</w:t>
      </w:r>
      <w:r w:rsidR="00003151">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003151">
        <w:rPr>
          <w:rFonts w:ascii="Arial" w:hAnsi="Arial" w:cs="Arial"/>
          <w:sz w:val="20"/>
          <w:szCs w:val="20"/>
        </w:rPr>
        <w:t xml:space="preserve"> 1000</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3E7D03">
        <w:rPr>
          <w:rFonts w:ascii="Arial" w:hAnsi="Arial" w:cs="Arial"/>
          <w:sz w:val="20"/>
          <w:szCs w:val="20"/>
        </w:rPr>
        <w:t xml:space="preserve">data </w:t>
      </w:r>
      <w:r w:rsidR="006550BA">
        <w:rPr>
          <w:rFonts w:ascii="Arial" w:hAnsi="Arial" w:cs="Arial"/>
          <w:sz w:val="20"/>
          <w:szCs w:val="20"/>
        </w:rPr>
        <w:t>11</w:t>
      </w:r>
      <w:r w:rsidRPr="009F4651">
        <w:rPr>
          <w:rFonts w:ascii="Arial" w:hAnsi="Arial" w:cs="Arial"/>
          <w:sz w:val="20"/>
          <w:szCs w:val="20"/>
        </w:rPr>
        <w:t>/</w:t>
      </w:r>
      <w:r w:rsidR="006550BA">
        <w:rPr>
          <w:rFonts w:ascii="Arial" w:hAnsi="Arial" w:cs="Arial"/>
          <w:sz w:val="20"/>
          <w:szCs w:val="20"/>
        </w:rPr>
        <w:t>10</w:t>
      </w:r>
      <w:r w:rsidR="0052625F" w:rsidRPr="009F4651">
        <w:rPr>
          <w:rFonts w:ascii="Arial" w:hAnsi="Arial" w:cs="Arial"/>
          <w:sz w:val="20"/>
          <w:szCs w:val="20"/>
        </w:rPr>
        <w:t>/2013</w:t>
      </w:r>
      <w:r w:rsidR="004F20A2" w:rsidRPr="009F4651">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D75AB6">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D75AB6" w:rsidRPr="00D75AB6">
        <w:rPr>
          <w:rFonts w:ascii="Arial" w:hAnsi="Arial"/>
          <w:b/>
          <w:sz w:val="20"/>
          <w:szCs w:val="20"/>
        </w:rPr>
        <w:t>Parrocchia San Pietro Apostolo</w:t>
      </w:r>
      <w:r w:rsidR="00D75AB6">
        <w:rPr>
          <w:rFonts w:ascii="Arial" w:hAnsi="Arial"/>
          <w:b/>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275A99" w:rsidRPr="006D11D5">
        <w:rPr>
          <w:rFonts w:ascii="Arial" w:hAnsi="Arial"/>
          <w:b/>
          <w:sz w:val="20"/>
          <w:szCs w:val="20"/>
        </w:rPr>
        <w:t>91004120928</w:t>
      </w:r>
      <w:r w:rsidR="00275A99">
        <w:rPr>
          <w:rFonts w:ascii="Arial" w:hAnsi="Arial"/>
          <w:b/>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780D8C" w:rsidRPr="007B218A">
        <w:rPr>
          <w:rFonts w:ascii="Arial" w:hAnsi="Arial"/>
          <w:b/>
          <w:sz w:val="20"/>
          <w:szCs w:val="20"/>
        </w:rPr>
        <w:t xml:space="preserve">€ </w:t>
      </w:r>
      <w:r w:rsidR="00780D8C">
        <w:rPr>
          <w:rFonts w:ascii="Arial" w:hAnsi="Arial"/>
          <w:b/>
          <w:sz w:val="20"/>
          <w:szCs w:val="20"/>
        </w:rPr>
        <w:t xml:space="preserve">15.000,00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B6309" w:rsidRPr="007B218A">
        <w:rPr>
          <w:rFonts w:ascii="Arial" w:hAnsi="Arial"/>
          <w:b/>
          <w:sz w:val="20"/>
          <w:szCs w:val="20"/>
        </w:rPr>
        <w:t xml:space="preserve">€ </w:t>
      </w:r>
      <w:r w:rsidR="008B6309">
        <w:rPr>
          <w:rFonts w:ascii="Arial" w:hAnsi="Arial"/>
          <w:b/>
          <w:sz w:val="20"/>
          <w:szCs w:val="20"/>
        </w:rPr>
        <w:t>26.870,21</w:t>
      </w:r>
      <w:r w:rsidR="008B6309"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1FF1">
        <w:rPr>
          <w:rFonts w:ascii="Arial" w:hAnsi="Arial" w:cs="Arial"/>
          <w:sz w:val="20"/>
          <w:szCs w:val="20"/>
        </w:rPr>
        <w:t xml:space="preserve"> </w:t>
      </w:r>
      <w:r w:rsidR="004032D1" w:rsidRPr="006D11D5">
        <w:rPr>
          <w:rFonts w:ascii="Arial" w:hAnsi="Arial"/>
          <w:b/>
          <w:sz w:val="20"/>
          <w:szCs w:val="20"/>
        </w:rPr>
        <w:t>94751714059</w:t>
      </w:r>
      <w:r w:rsidR="005E41D0" w:rsidRPr="005E41D0">
        <w:rPr>
          <w:rFonts w:ascii="Arial" w:hAnsi="Arial"/>
          <w:b/>
          <w:sz w:val="20"/>
          <w:szCs w:val="20"/>
        </w:rPr>
        <w:t>.</w:t>
      </w:r>
    </w:p>
    <w:p w:rsidR="005A02DA" w:rsidRDefault="00831FF9" w:rsidP="008E16FE">
      <w:pPr>
        <w:autoSpaceDE w:val="0"/>
        <w:spacing w:after="0" w:line="360" w:lineRule="auto"/>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8A71A6" w:rsidRPr="008A71A6" w:rsidRDefault="008A71A6" w:rsidP="000B1F66">
      <w:pPr>
        <w:pStyle w:val="NormaleWeb"/>
        <w:suppressAutoHyphens/>
        <w:spacing w:before="0" w:beforeAutospacing="0" w:after="0" w:afterAutospacing="0" w:line="360" w:lineRule="auto"/>
        <w:rPr>
          <w:rFonts w:ascii="Arial" w:hAnsi="Arial"/>
          <w:sz w:val="20"/>
          <w:szCs w:val="20"/>
        </w:rPr>
      </w:pPr>
      <w:r w:rsidRPr="008A71A6">
        <w:rPr>
          <w:rFonts w:ascii="Arial" w:hAnsi="Arial"/>
          <w:sz w:val="20"/>
          <w:szCs w:val="20"/>
        </w:rPr>
        <w:t>Rifacimento copertura.</w:t>
      </w:r>
    </w:p>
    <w:p w:rsidR="007D6F8E" w:rsidRPr="00C127D5" w:rsidRDefault="00831FF9" w:rsidP="000B1F66">
      <w:pPr>
        <w:pStyle w:val="NormaleWeb"/>
        <w:suppressAutoHyphens/>
        <w:spacing w:before="0" w:beforeAutospacing="0" w:after="0" w:afterAutospacing="0" w:line="360" w:lineRule="auto"/>
        <w:rPr>
          <w:rFonts w:ascii="Arial" w:hAnsi="Arial"/>
        </w:rPr>
      </w:pPr>
      <w:r w:rsidRPr="00F36AAE">
        <w:rPr>
          <w:rFonts w:ascii="Arial" w:hAnsi="Arial"/>
          <w:sz w:val="20"/>
          <w:szCs w:val="20"/>
        </w:rPr>
        <w:t>Ubicato nel Comune di</w:t>
      </w:r>
      <w:r w:rsidR="00C65C39" w:rsidRPr="00F36AAE">
        <w:rPr>
          <w:rFonts w:ascii="Arial" w:hAnsi="Arial"/>
          <w:sz w:val="20"/>
          <w:szCs w:val="20"/>
        </w:rPr>
        <w:t xml:space="preserve"> </w:t>
      </w:r>
      <w:r w:rsidR="00DC1CE9" w:rsidRPr="00DC1CE9">
        <w:rPr>
          <w:rFonts w:ascii="Arial" w:hAnsi="Arial"/>
          <w:sz w:val="20"/>
          <w:szCs w:val="20"/>
        </w:rPr>
        <w:t>Tuili, F. 11, PART. 1283.</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8B6309">
            <w:pPr>
              <w:snapToGrid w:val="0"/>
              <w:jc w:val="center"/>
              <w:rPr>
                <w:rFonts w:ascii="Arial" w:hAnsi="Arial" w:cs="Arial"/>
                <w:sz w:val="20"/>
                <w:szCs w:val="20"/>
              </w:rPr>
            </w:pPr>
            <w:r>
              <w:rPr>
                <w:rFonts w:ascii="Arial" w:hAnsi="Arial"/>
                <w:sz w:val="20"/>
                <w:szCs w:val="20"/>
              </w:rPr>
              <w:t xml:space="preserve">€ </w:t>
            </w:r>
            <w:r w:rsidR="005A02DA">
              <w:rPr>
                <w:rFonts w:ascii="Arial" w:hAnsi="Arial"/>
                <w:sz w:val="20"/>
                <w:szCs w:val="20"/>
              </w:rPr>
              <w:t>2</w:t>
            </w:r>
            <w:r w:rsidR="008B6309">
              <w:rPr>
                <w:rFonts w:ascii="Arial" w:hAnsi="Arial"/>
                <w:sz w:val="20"/>
                <w:szCs w:val="20"/>
              </w:rPr>
              <w:t>6</w:t>
            </w:r>
            <w:r w:rsidR="005C7E7F" w:rsidRPr="005C7E7F">
              <w:rPr>
                <w:rFonts w:ascii="Arial" w:hAnsi="Arial"/>
                <w:sz w:val="20"/>
                <w:szCs w:val="20"/>
              </w:rPr>
              <w:t>.</w:t>
            </w:r>
            <w:r w:rsidR="001363FB">
              <w:rPr>
                <w:rFonts w:ascii="Arial" w:hAnsi="Arial"/>
                <w:sz w:val="20"/>
                <w:szCs w:val="20"/>
              </w:rPr>
              <w:t>870</w:t>
            </w:r>
            <w:r w:rsidR="005C7E7F" w:rsidRPr="005C7E7F">
              <w:rPr>
                <w:rFonts w:ascii="Arial" w:hAnsi="Arial"/>
                <w:sz w:val="20"/>
                <w:szCs w:val="20"/>
              </w:rPr>
              <w:t>,</w:t>
            </w:r>
            <w:r w:rsidR="001363FB">
              <w:rPr>
                <w:rFonts w:ascii="Arial" w:hAnsi="Arial"/>
                <w:sz w:val="20"/>
                <w:szCs w:val="20"/>
              </w:rPr>
              <w:t>2</w:t>
            </w:r>
            <w:r w:rsidR="005A02DA">
              <w:rPr>
                <w:rFonts w:ascii="Arial" w:hAnsi="Arial"/>
                <w:sz w:val="20"/>
                <w:szCs w:val="20"/>
              </w:rPr>
              <w:t>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8B6309" w:rsidP="00C2731B">
            <w:pPr>
              <w:snapToGrid w:val="0"/>
              <w:jc w:val="center"/>
              <w:rPr>
                <w:rFonts w:ascii="Arial" w:hAnsi="Arial" w:cs="Arial"/>
                <w:sz w:val="20"/>
                <w:szCs w:val="20"/>
              </w:rPr>
            </w:pPr>
            <w:r>
              <w:rPr>
                <w:rFonts w:ascii="Arial" w:hAnsi="Arial"/>
                <w:sz w:val="20"/>
                <w:szCs w:val="20"/>
              </w:rPr>
              <w:t>€ 26</w:t>
            </w:r>
            <w:r w:rsidR="001363FB" w:rsidRPr="005C7E7F">
              <w:rPr>
                <w:rFonts w:ascii="Arial" w:hAnsi="Arial"/>
                <w:sz w:val="20"/>
                <w:szCs w:val="20"/>
              </w:rPr>
              <w:t>.</w:t>
            </w:r>
            <w:r w:rsidR="001363FB">
              <w:rPr>
                <w:rFonts w:ascii="Arial" w:hAnsi="Arial"/>
                <w:sz w:val="20"/>
                <w:szCs w:val="20"/>
              </w:rPr>
              <w:t>870</w:t>
            </w:r>
            <w:r w:rsidR="001363FB" w:rsidRPr="005C7E7F">
              <w:rPr>
                <w:rFonts w:ascii="Arial" w:hAnsi="Arial"/>
                <w:sz w:val="20"/>
                <w:szCs w:val="20"/>
              </w:rPr>
              <w:t>,</w:t>
            </w:r>
            <w:r w:rsidR="001363FB">
              <w:rPr>
                <w:rFonts w:ascii="Arial" w:hAnsi="Arial"/>
                <w:sz w:val="20"/>
                <w:szCs w:val="20"/>
              </w:rPr>
              <w:t>21</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5A02DA" w:rsidP="008B6309">
            <w:pPr>
              <w:snapToGrid w:val="0"/>
              <w:jc w:val="center"/>
              <w:rPr>
                <w:rFonts w:ascii="Arial" w:hAnsi="Arial" w:cs="Arial"/>
                <w:caps/>
                <w:sz w:val="20"/>
                <w:szCs w:val="20"/>
              </w:rPr>
            </w:pPr>
            <w:r>
              <w:rPr>
                <w:rFonts w:ascii="Arial" w:hAnsi="Arial"/>
                <w:sz w:val="20"/>
                <w:szCs w:val="20"/>
              </w:rPr>
              <w:t xml:space="preserve">€ </w:t>
            </w:r>
            <w:r w:rsidR="008B6309">
              <w:rPr>
                <w:rFonts w:ascii="Arial" w:hAnsi="Arial"/>
                <w:sz w:val="20"/>
                <w:szCs w:val="20"/>
              </w:rPr>
              <w:t>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B6309" w:rsidP="00DE7E9D">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1363FB" w:rsidP="001363FB">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Pr>
                <w:rFonts w:ascii="Arial" w:hAnsi="Arial" w:cs="Arial"/>
                <w:caps/>
                <w:sz w:val="20"/>
                <w:szCs w:val="20"/>
              </w:rPr>
              <w:t>00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363FB" w:rsidP="00F748C5">
            <w:pPr>
              <w:snapToGrid w:val="0"/>
              <w:jc w:val="center"/>
              <w:rPr>
                <w:rFonts w:ascii="Arial" w:hAnsi="Arial" w:cs="Arial"/>
                <w:caps/>
                <w:sz w:val="20"/>
                <w:szCs w:val="20"/>
              </w:rPr>
            </w:pPr>
            <w:r>
              <w:rPr>
                <w:rFonts w:ascii="Arial" w:hAnsi="Arial" w:cs="Arial"/>
                <w:caps/>
                <w:sz w:val="20"/>
                <w:szCs w:val="20"/>
              </w:rPr>
              <w:t>0,00 %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1363FB" w:rsidRDefault="001363FB" w:rsidP="008B6309">
            <w:pPr>
              <w:jc w:val="center"/>
              <w:rPr>
                <w:rFonts w:ascii="Arial" w:hAnsi="Arial" w:cs="Arial"/>
                <w:b/>
                <w:sz w:val="20"/>
                <w:szCs w:val="20"/>
              </w:rPr>
            </w:pPr>
            <w:r w:rsidRPr="001363FB">
              <w:rPr>
                <w:rFonts w:ascii="Arial" w:hAnsi="Arial"/>
                <w:b/>
                <w:sz w:val="20"/>
                <w:szCs w:val="20"/>
              </w:rPr>
              <w:t>€ 2</w:t>
            </w:r>
            <w:r w:rsidR="008B6309">
              <w:rPr>
                <w:rFonts w:ascii="Arial" w:hAnsi="Arial"/>
                <w:b/>
                <w:sz w:val="20"/>
                <w:szCs w:val="20"/>
              </w:rPr>
              <w:t>6</w:t>
            </w:r>
            <w:r w:rsidRPr="001363FB">
              <w:rPr>
                <w:rFonts w:ascii="Arial" w:hAnsi="Arial"/>
                <w:b/>
                <w:sz w:val="20"/>
                <w:szCs w:val="20"/>
              </w:rPr>
              <w:t>.870,21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8B6309" w:rsidP="002E02A7">
            <w:pPr>
              <w:jc w:val="center"/>
              <w:rPr>
                <w:rFonts w:ascii="Arial" w:hAnsi="Arial" w:cs="Arial"/>
                <w:b/>
                <w:sz w:val="20"/>
                <w:szCs w:val="20"/>
              </w:rPr>
            </w:pPr>
            <w:r>
              <w:rPr>
                <w:rFonts w:ascii="Arial" w:hAnsi="Arial"/>
                <w:b/>
                <w:sz w:val="20"/>
                <w:szCs w:val="20"/>
              </w:rPr>
              <w:t>€ 26</w:t>
            </w:r>
            <w:r w:rsidR="001363FB" w:rsidRPr="001363FB">
              <w:rPr>
                <w:rFonts w:ascii="Arial" w:hAnsi="Arial"/>
                <w:b/>
                <w:sz w:val="20"/>
                <w:szCs w:val="20"/>
              </w:rPr>
              <w:t>.870,21</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1363FB" w:rsidP="005A02DA">
            <w:pPr>
              <w:jc w:val="center"/>
              <w:rPr>
                <w:rFonts w:ascii="Arial" w:hAnsi="Arial" w:cs="Arial"/>
                <w:b/>
                <w:sz w:val="20"/>
                <w:szCs w:val="20"/>
              </w:rPr>
            </w:pPr>
            <w:r>
              <w:rPr>
                <w:rFonts w:ascii="Arial" w:hAnsi="Arial" w:cs="Arial"/>
                <w:b/>
                <w:sz w:val="20"/>
                <w:szCs w:val="20"/>
              </w:rPr>
              <w:t>55</w:t>
            </w:r>
            <w:r w:rsidR="00D70379">
              <w:rPr>
                <w:rFonts w:ascii="Arial" w:hAnsi="Arial" w:cs="Arial"/>
                <w:b/>
                <w:sz w:val="20"/>
                <w:szCs w:val="20"/>
              </w:rPr>
              <w:t>,</w:t>
            </w:r>
            <w:r>
              <w:rPr>
                <w:rFonts w:ascii="Arial" w:hAnsi="Arial" w:cs="Arial"/>
                <w:b/>
                <w:sz w:val="20"/>
                <w:szCs w:val="20"/>
              </w:rPr>
              <w:t>82</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F41338">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8E39FA">
        <w:rPr>
          <w:rFonts w:ascii="Arial" w:eastAsia="Times New Roman" w:hAnsi="Arial" w:cs="Arial"/>
          <w:b/>
          <w:sz w:val="20"/>
          <w:szCs w:val="20"/>
        </w:rPr>
        <w:t xml:space="preserve"> 11</w:t>
      </w:r>
      <w:r w:rsidR="00531B93">
        <w:rPr>
          <w:rFonts w:ascii="Arial" w:eastAsia="Times New Roman" w:hAnsi="Arial" w:cs="Arial"/>
          <w:b/>
          <w:sz w:val="20"/>
          <w:szCs w:val="20"/>
        </w:rPr>
        <w:t>.</w:t>
      </w:r>
      <w:r w:rsidR="008E39FA">
        <w:rPr>
          <w:rFonts w:ascii="Arial" w:eastAsia="Times New Roman" w:hAnsi="Arial" w:cs="Arial"/>
          <w:b/>
          <w:sz w:val="20"/>
          <w:szCs w:val="20"/>
        </w:rPr>
        <w:t>870</w:t>
      </w:r>
      <w:r w:rsidR="00531B93">
        <w:rPr>
          <w:rFonts w:ascii="Arial" w:eastAsia="Times New Roman" w:hAnsi="Arial" w:cs="Arial"/>
          <w:b/>
          <w:sz w:val="20"/>
          <w:szCs w:val="20"/>
        </w:rPr>
        <w:t>,</w:t>
      </w:r>
      <w:r w:rsidR="008E39FA">
        <w:rPr>
          <w:rFonts w:ascii="Arial" w:eastAsia="Times New Roman" w:hAnsi="Arial" w:cs="Arial"/>
          <w:b/>
          <w:sz w:val="20"/>
          <w:szCs w:val="20"/>
        </w:rPr>
        <w:t>21</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E825BC" w:rsidRDefault="00831FF9" w:rsidP="00831FF9">
      <w:pPr>
        <w:autoSpaceDE w:val="0"/>
        <w:spacing w:before="120"/>
        <w:jc w:val="both"/>
        <w:rPr>
          <w:rFonts w:ascii="Arial" w:eastAsia="Times New Roman" w:hAnsi="Arial" w:cs="Arial"/>
          <w:b/>
          <w:i/>
          <w:sz w:val="20"/>
          <w:szCs w:val="20"/>
          <w:u w:val="single"/>
        </w:rPr>
      </w:pPr>
      <w:r w:rsidRPr="00E825BC">
        <w:rPr>
          <w:rFonts w:ascii="Arial" w:eastAsia="Times New Roman" w:hAnsi="Arial" w:cs="Arial"/>
          <w:b/>
          <w:i/>
          <w:sz w:val="20"/>
          <w:szCs w:val="20"/>
          <w:u w:val="single"/>
          <w:lang w:val="x-none"/>
        </w:rPr>
        <w:t>Codice Unico di Progetto</w:t>
      </w:r>
      <w:r w:rsidR="00E825BC" w:rsidRPr="00E825BC">
        <w:rPr>
          <w:rFonts w:ascii="Arial" w:eastAsia="Times New Roman" w:hAnsi="Arial" w:cs="Arial"/>
          <w:b/>
          <w:i/>
          <w:sz w:val="20"/>
          <w:szCs w:val="20"/>
          <w:u w:val="single"/>
        </w:rPr>
        <w:t xml:space="preserve"> </w:t>
      </w:r>
      <w:r w:rsidR="00E825BC" w:rsidRPr="00E825BC">
        <w:rPr>
          <w:rFonts w:ascii="Arial" w:hAnsi="Arial"/>
          <w:b/>
          <w:sz w:val="20"/>
          <w:szCs w:val="20"/>
          <w:u w:val="single"/>
        </w:rPr>
        <w:t>F76G13001760004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155C45">
        <w:rPr>
          <w:rFonts w:ascii="Arial" w:hAnsi="Arial"/>
          <w:b/>
          <w:sz w:val="20"/>
          <w:szCs w:val="20"/>
        </w:rPr>
        <w:t xml:space="preserve"> </w:t>
      </w:r>
      <w:r w:rsidR="00722671">
        <w:rPr>
          <w:rFonts w:ascii="Arial" w:hAnsi="Arial"/>
          <w:b/>
          <w:sz w:val="20"/>
          <w:szCs w:val="20"/>
        </w:rPr>
        <w:t xml:space="preserve">F76G13001760004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B65296">
        <w:rPr>
          <w:rFonts w:ascii="Arial" w:hAnsi="Arial" w:cs="Arial"/>
          <w:b/>
          <w:i/>
          <w:color w:val="000000"/>
          <w:sz w:val="20"/>
          <w:szCs w:val="20"/>
          <w:u w:val="single"/>
        </w:rPr>
        <w:t>24</w:t>
      </w:r>
      <w:r w:rsidR="007B6F63" w:rsidRPr="009F4651">
        <w:rPr>
          <w:rFonts w:ascii="Arial" w:hAnsi="Arial" w:cs="Arial"/>
          <w:b/>
          <w:i/>
          <w:color w:val="000000"/>
          <w:sz w:val="20"/>
          <w:szCs w:val="20"/>
          <w:u w:val="single"/>
        </w:rPr>
        <w:t xml:space="preserve"> </w:t>
      </w:r>
      <w:r w:rsidR="009F4651">
        <w:rPr>
          <w:rFonts w:ascii="Arial" w:hAnsi="Arial" w:cs="Arial"/>
          <w:b/>
          <w:i/>
          <w:color w:val="000000"/>
          <w:sz w:val="20"/>
          <w:szCs w:val="20"/>
          <w:u w:val="single"/>
        </w:rPr>
        <w:t>Aprile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844D3B">
        <w:rPr>
          <w:rFonts w:ascii="Arial" w:hAnsi="Arial" w:cs="Arial"/>
          <w:b/>
          <w:i/>
          <w:color w:val="000000"/>
          <w:sz w:val="20"/>
          <w:szCs w:val="20"/>
          <w:u w:val="single"/>
        </w:rPr>
        <w:t>24</w:t>
      </w:r>
      <w:r w:rsidR="00483463" w:rsidRPr="009F4651">
        <w:rPr>
          <w:rFonts w:ascii="Arial" w:hAnsi="Arial" w:cs="Arial"/>
          <w:b/>
          <w:i/>
          <w:color w:val="000000"/>
          <w:sz w:val="20"/>
          <w:szCs w:val="20"/>
          <w:u w:val="single"/>
        </w:rPr>
        <w:t xml:space="preserve"> </w:t>
      </w:r>
      <w:r w:rsidR="00483463">
        <w:rPr>
          <w:rFonts w:ascii="Arial" w:hAnsi="Arial" w:cs="Arial"/>
          <w:b/>
          <w:i/>
          <w:color w:val="000000"/>
          <w:sz w:val="20"/>
          <w:szCs w:val="20"/>
          <w:u w:val="single"/>
        </w:rPr>
        <w:t xml:space="preserve">Aprile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970AF6">
        <w:rPr>
          <w:rFonts w:ascii="Arial" w:eastAsia="Times New Roman" w:hAnsi="Arial" w:cs="Arial"/>
          <w:sz w:val="20"/>
          <w:szCs w:val="20"/>
        </w:rPr>
        <w:t>122</w:t>
      </w:r>
      <w:r w:rsidR="00D36D45" w:rsidRPr="00D11D5B">
        <w:rPr>
          <w:rFonts w:ascii="Arial" w:eastAsia="Times New Roman" w:hAnsi="Arial" w:cs="Arial"/>
          <w:sz w:val="20"/>
          <w:szCs w:val="20"/>
        </w:rPr>
        <w:t xml:space="preserve">/2013 del </w:t>
      </w:r>
      <w:r w:rsidR="00F50943">
        <w:rPr>
          <w:rFonts w:ascii="Arial" w:hAnsi="Arial" w:cs="Arial"/>
          <w:color w:val="000000"/>
          <w:sz w:val="20"/>
          <w:szCs w:val="20"/>
        </w:rPr>
        <w:t>24</w:t>
      </w:r>
      <w:r w:rsidR="00970AF6">
        <w:rPr>
          <w:rFonts w:ascii="Arial" w:hAnsi="Arial" w:cs="Arial"/>
          <w:color w:val="000000"/>
          <w:sz w:val="20"/>
          <w:szCs w:val="20"/>
        </w:rPr>
        <w:t>/10/2013</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BA10D0">
        <w:rPr>
          <w:rFonts w:ascii="Arial" w:eastAsia="Times New Roman" w:hAnsi="Arial" w:cs="Arial"/>
          <w:sz w:val="20"/>
          <w:szCs w:val="20"/>
        </w:rPr>
        <w:t xml:space="preserve"> 24/10/2013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6056D6">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71B0" w:rsidRDefault="00C671B0" w:rsidP="0029713E">
      <w:pPr>
        <w:spacing w:after="0" w:line="240" w:lineRule="auto"/>
      </w:pPr>
      <w:r>
        <w:separator/>
      </w:r>
    </w:p>
  </w:endnote>
  <w:endnote w:type="continuationSeparator" w:id="0">
    <w:p w:rsidR="00C671B0" w:rsidRDefault="00C671B0"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71B0" w:rsidRDefault="00C671B0" w:rsidP="0029713E">
      <w:pPr>
        <w:spacing w:after="0" w:line="240" w:lineRule="auto"/>
      </w:pPr>
      <w:r>
        <w:separator/>
      </w:r>
    </w:p>
  </w:footnote>
  <w:footnote w:type="continuationSeparator" w:id="0">
    <w:p w:rsidR="00C671B0" w:rsidRDefault="00C671B0"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608C"/>
    <w:rsid w:val="000063F7"/>
    <w:rsid w:val="00006D54"/>
    <w:rsid w:val="000110AB"/>
    <w:rsid w:val="000137C4"/>
    <w:rsid w:val="000150ED"/>
    <w:rsid w:val="00015748"/>
    <w:rsid w:val="00026D9C"/>
    <w:rsid w:val="00030AED"/>
    <w:rsid w:val="00031914"/>
    <w:rsid w:val="00033DF7"/>
    <w:rsid w:val="000356CA"/>
    <w:rsid w:val="00041FBE"/>
    <w:rsid w:val="000434AE"/>
    <w:rsid w:val="00045FD4"/>
    <w:rsid w:val="00054B99"/>
    <w:rsid w:val="000675BC"/>
    <w:rsid w:val="000857C1"/>
    <w:rsid w:val="00085B6E"/>
    <w:rsid w:val="00090D67"/>
    <w:rsid w:val="000916C6"/>
    <w:rsid w:val="000A521E"/>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53B6"/>
    <w:rsid w:val="001473AF"/>
    <w:rsid w:val="00155C45"/>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86C6D"/>
    <w:rsid w:val="0019600E"/>
    <w:rsid w:val="0019643E"/>
    <w:rsid w:val="001A0C84"/>
    <w:rsid w:val="001A0FE5"/>
    <w:rsid w:val="001A260A"/>
    <w:rsid w:val="001A7323"/>
    <w:rsid w:val="001B01A6"/>
    <w:rsid w:val="001B1E0B"/>
    <w:rsid w:val="001B683C"/>
    <w:rsid w:val="001C2A13"/>
    <w:rsid w:val="001C5837"/>
    <w:rsid w:val="001C6192"/>
    <w:rsid w:val="001C6D3A"/>
    <w:rsid w:val="001D3137"/>
    <w:rsid w:val="001D36D5"/>
    <w:rsid w:val="001D5D45"/>
    <w:rsid w:val="001D6CAB"/>
    <w:rsid w:val="001E2339"/>
    <w:rsid w:val="001E42DB"/>
    <w:rsid w:val="001E4A81"/>
    <w:rsid w:val="001F0411"/>
    <w:rsid w:val="001F1D49"/>
    <w:rsid w:val="001F5A84"/>
    <w:rsid w:val="0020069B"/>
    <w:rsid w:val="0020102E"/>
    <w:rsid w:val="00204083"/>
    <w:rsid w:val="00204777"/>
    <w:rsid w:val="00210786"/>
    <w:rsid w:val="002162CF"/>
    <w:rsid w:val="00217301"/>
    <w:rsid w:val="00246323"/>
    <w:rsid w:val="00253CB4"/>
    <w:rsid w:val="00265052"/>
    <w:rsid w:val="00275A99"/>
    <w:rsid w:val="00277A73"/>
    <w:rsid w:val="002831E8"/>
    <w:rsid w:val="0029713E"/>
    <w:rsid w:val="0029796F"/>
    <w:rsid w:val="002A0F57"/>
    <w:rsid w:val="002A3C9E"/>
    <w:rsid w:val="002B0A76"/>
    <w:rsid w:val="002B1062"/>
    <w:rsid w:val="002B24E6"/>
    <w:rsid w:val="002B27F1"/>
    <w:rsid w:val="002B62EA"/>
    <w:rsid w:val="002B75A6"/>
    <w:rsid w:val="002C0586"/>
    <w:rsid w:val="002C2464"/>
    <w:rsid w:val="002E02A7"/>
    <w:rsid w:val="002E0617"/>
    <w:rsid w:val="002E4F79"/>
    <w:rsid w:val="002F0355"/>
    <w:rsid w:val="002F1188"/>
    <w:rsid w:val="002F1399"/>
    <w:rsid w:val="00300B62"/>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62FC3"/>
    <w:rsid w:val="00365408"/>
    <w:rsid w:val="00365686"/>
    <w:rsid w:val="00367BE7"/>
    <w:rsid w:val="0037020A"/>
    <w:rsid w:val="00370547"/>
    <w:rsid w:val="00371683"/>
    <w:rsid w:val="00371BA8"/>
    <w:rsid w:val="003825B7"/>
    <w:rsid w:val="00385DFB"/>
    <w:rsid w:val="00390D88"/>
    <w:rsid w:val="00391652"/>
    <w:rsid w:val="00396677"/>
    <w:rsid w:val="003A0AFB"/>
    <w:rsid w:val="003A3B2D"/>
    <w:rsid w:val="003A3C6C"/>
    <w:rsid w:val="003A77FC"/>
    <w:rsid w:val="003B02BD"/>
    <w:rsid w:val="003B0367"/>
    <w:rsid w:val="003B2A97"/>
    <w:rsid w:val="003B392A"/>
    <w:rsid w:val="003C2D9E"/>
    <w:rsid w:val="003C2FB0"/>
    <w:rsid w:val="003C43C6"/>
    <w:rsid w:val="003C521F"/>
    <w:rsid w:val="003C6056"/>
    <w:rsid w:val="003C6099"/>
    <w:rsid w:val="003D152C"/>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42BA4"/>
    <w:rsid w:val="004435A0"/>
    <w:rsid w:val="00443927"/>
    <w:rsid w:val="004449D4"/>
    <w:rsid w:val="004459B6"/>
    <w:rsid w:val="0044677C"/>
    <w:rsid w:val="00462C05"/>
    <w:rsid w:val="004635ED"/>
    <w:rsid w:val="00477831"/>
    <w:rsid w:val="00483463"/>
    <w:rsid w:val="004933AB"/>
    <w:rsid w:val="00497A97"/>
    <w:rsid w:val="004A0E6A"/>
    <w:rsid w:val="004A233F"/>
    <w:rsid w:val="004A52EE"/>
    <w:rsid w:val="004A5FF4"/>
    <w:rsid w:val="004B2E90"/>
    <w:rsid w:val="004B6FE6"/>
    <w:rsid w:val="004C349A"/>
    <w:rsid w:val="004C4F9C"/>
    <w:rsid w:val="004C61CC"/>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3959"/>
    <w:rsid w:val="0052625F"/>
    <w:rsid w:val="005268FF"/>
    <w:rsid w:val="005269E4"/>
    <w:rsid w:val="00531B93"/>
    <w:rsid w:val="00533008"/>
    <w:rsid w:val="00536CE9"/>
    <w:rsid w:val="00537DB0"/>
    <w:rsid w:val="005406A9"/>
    <w:rsid w:val="005417FA"/>
    <w:rsid w:val="00542888"/>
    <w:rsid w:val="00542C89"/>
    <w:rsid w:val="00544484"/>
    <w:rsid w:val="00552C2E"/>
    <w:rsid w:val="00554A95"/>
    <w:rsid w:val="005568C0"/>
    <w:rsid w:val="00557F24"/>
    <w:rsid w:val="00561222"/>
    <w:rsid w:val="00563BCF"/>
    <w:rsid w:val="005735EB"/>
    <w:rsid w:val="005744A3"/>
    <w:rsid w:val="005747A0"/>
    <w:rsid w:val="005771F5"/>
    <w:rsid w:val="005779C8"/>
    <w:rsid w:val="005931E4"/>
    <w:rsid w:val="00594154"/>
    <w:rsid w:val="005A02DA"/>
    <w:rsid w:val="005A1F95"/>
    <w:rsid w:val="005A4A37"/>
    <w:rsid w:val="005A7C0C"/>
    <w:rsid w:val="005B56ED"/>
    <w:rsid w:val="005C0C3D"/>
    <w:rsid w:val="005C7196"/>
    <w:rsid w:val="005C7E7F"/>
    <w:rsid w:val="005D4799"/>
    <w:rsid w:val="005E2A77"/>
    <w:rsid w:val="005E3160"/>
    <w:rsid w:val="005E41D0"/>
    <w:rsid w:val="005E6095"/>
    <w:rsid w:val="005F0A58"/>
    <w:rsid w:val="005F47C4"/>
    <w:rsid w:val="005F67D2"/>
    <w:rsid w:val="005F6E06"/>
    <w:rsid w:val="006002BF"/>
    <w:rsid w:val="006030FE"/>
    <w:rsid w:val="00603430"/>
    <w:rsid w:val="006056D6"/>
    <w:rsid w:val="00605E29"/>
    <w:rsid w:val="006075B2"/>
    <w:rsid w:val="00607D98"/>
    <w:rsid w:val="0061151B"/>
    <w:rsid w:val="00612046"/>
    <w:rsid w:val="0061371C"/>
    <w:rsid w:val="006178BB"/>
    <w:rsid w:val="006303E9"/>
    <w:rsid w:val="00640A2D"/>
    <w:rsid w:val="00643DED"/>
    <w:rsid w:val="00644A2E"/>
    <w:rsid w:val="00652684"/>
    <w:rsid w:val="00652BE7"/>
    <w:rsid w:val="0065331F"/>
    <w:rsid w:val="006550BA"/>
    <w:rsid w:val="006551D9"/>
    <w:rsid w:val="00656D4A"/>
    <w:rsid w:val="00657C0B"/>
    <w:rsid w:val="00661047"/>
    <w:rsid w:val="00665831"/>
    <w:rsid w:val="00666239"/>
    <w:rsid w:val="00671AD7"/>
    <w:rsid w:val="0067225E"/>
    <w:rsid w:val="006844DE"/>
    <w:rsid w:val="00691A0B"/>
    <w:rsid w:val="00697040"/>
    <w:rsid w:val="006A09FC"/>
    <w:rsid w:val="006A2B8B"/>
    <w:rsid w:val="006A5893"/>
    <w:rsid w:val="006B336B"/>
    <w:rsid w:val="006B3B67"/>
    <w:rsid w:val="006B4B2B"/>
    <w:rsid w:val="006B7930"/>
    <w:rsid w:val="006C1B10"/>
    <w:rsid w:val="006C248B"/>
    <w:rsid w:val="006C43B7"/>
    <w:rsid w:val="006C675C"/>
    <w:rsid w:val="006D10DD"/>
    <w:rsid w:val="006D11D5"/>
    <w:rsid w:val="006E17B9"/>
    <w:rsid w:val="006E702B"/>
    <w:rsid w:val="006F39AA"/>
    <w:rsid w:val="007024A2"/>
    <w:rsid w:val="007113F8"/>
    <w:rsid w:val="007138A7"/>
    <w:rsid w:val="0071573A"/>
    <w:rsid w:val="00720F35"/>
    <w:rsid w:val="00722671"/>
    <w:rsid w:val="00727CAA"/>
    <w:rsid w:val="00730164"/>
    <w:rsid w:val="00735D24"/>
    <w:rsid w:val="0073655B"/>
    <w:rsid w:val="007460F4"/>
    <w:rsid w:val="00746A06"/>
    <w:rsid w:val="00747868"/>
    <w:rsid w:val="00750428"/>
    <w:rsid w:val="0075645D"/>
    <w:rsid w:val="007652FA"/>
    <w:rsid w:val="007666DD"/>
    <w:rsid w:val="00771EB7"/>
    <w:rsid w:val="00775C81"/>
    <w:rsid w:val="00780D8C"/>
    <w:rsid w:val="0078371B"/>
    <w:rsid w:val="007952F5"/>
    <w:rsid w:val="0079535D"/>
    <w:rsid w:val="007A140D"/>
    <w:rsid w:val="007A165A"/>
    <w:rsid w:val="007A41AD"/>
    <w:rsid w:val="007B218A"/>
    <w:rsid w:val="007B22E1"/>
    <w:rsid w:val="007B351C"/>
    <w:rsid w:val="007B36C9"/>
    <w:rsid w:val="007B6F63"/>
    <w:rsid w:val="007D49BA"/>
    <w:rsid w:val="007D6F8E"/>
    <w:rsid w:val="007D7564"/>
    <w:rsid w:val="007E0D80"/>
    <w:rsid w:val="007F462D"/>
    <w:rsid w:val="007F496D"/>
    <w:rsid w:val="00822B9B"/>
    <w:rsid w:val="00827418"/>
    <w:rsid w:val="0082764A"/>
    <w:rsid w:val="00827FF7"/>
    <w:rsid w:val="00831FF9"/>
    <w:rsid w:val="0083219B"/>
    <w:rsid w:val="008326BF"/>
    <w:rsid w:val="0083320E"/>
    <w:rsid w:val="0084347F"/>
    <w:rsid w:val="00844D3B"/>
    <w:rsid w:val="00856B7F"/>
    <w:rsid w:val="00857442"/>
    <w:rsid w:val="00866143"/>
    <w:rsid w:val="00866768"/>
    <w:rsid w:val="008671E9"/>
    <w:rsid w:val="00867313"/>
    <w:rsid w:val="0087480F"/>
    <w:rsid w:val="008748CA"/>
    <w:rsid w:val="00877DEF"/>
    <w:rsid w:val="008831CE"/>
    <w:rsid w:val="0088798D"/>
    <w:rsid w:val="008901E7"/>
    <w:rsid w:val="00894DEC"/>
    <w:rsid w:val="008A2BA2"/>
    <w:rsid w:val="008A381C"/>
    <w:rsid w:val="008A66BC"/>
    <w:rsid w:val="008A71A6"/>
    <w:rsid w:val="008B4DFF"/>
    <w:rsid w:val="008B6309"/>
    <w:rsid w:val="008C535F"/>
    <w:rsid w:val="008C663A"/>
    <w:rsid w:val="008D0F75"/>
    <w:rsid w:val="008D3C50"/>
    <w:rsid w:val="008D46D3"/>
    <w:rsid w:val="008D55D4"/>
    <w:rsid w:val="008D5A91"/>
    <w:rsid w:val="008D64EB"/>
    <w:rsid w:val="008E16FE"/>
    <w:rsid w:val="008E39FA"/>
    <w:rsid w:val="008E3CF0"/>
    <w:rsid w:val="008E4206"/>
    <w:rsid w:val="008E4CBC"/>
    <w:rsid w:val="008E7E8D"/>
    <w:rsid w:val="008F2849"/>
    <w:rsid w:val="008F6991"/>
    <w:rsid w:val="00900BFE"/>
    <w:rsid w:val="00903C29"/>
    <w:rsid w:val="009051EC"/>
    <w:rsid w:val="00907839"/>
    <w:rsid w:val="0091699C"/>
    <w:rsid w:val="00922896"/>
    <w:rsid w:val="00923025"/>
    <w:rsid w:val="00924135"/>
    <w:rsid w:val="00925F3A"/>
    <w:rsid w:val="00927E4F"/>
    <w:rsid w:val="0093731D"/>
    <w:rsid w:val="009407EC"/>
    <w:rsid w:val="00943F81"/>
    <w:rsid w:val="0094614F"/>
    <w:rsid w:val="009472FD"/>
    <w:rsid w:val="00953637"/>
    <w:rsid w:val="009564D8"/>
    <w:rsid w:val="00961DBD"/>
    <w:rsid w:val="00970AF6"/>
    <w:rsid w:val="009804BF"/>
    <w:rsid w:val="00985313"/>
    <w:rsid w:val="00987CD7"/>
    <w:rsid w:val="00990648"/>
    <w:rsid w:val="00997B1F"/>
    <w:rsid w:val="009A3300"/>
    <w:rsid w:val="009B54A8"/>
    <w:rsid w:val="009C0417"/>
    <w:rsid w:val="009C2640"/>
    <w:rsid w:val="009C296D"/>
    <w:rsid w:val="009C2999"/>
    <w:rsid w:val="009C3D47"/>
    <w:rsid w:val="009C7272"/>
    <w:rsid w:val="009E166E"/>
    <w:rsid w:val="009E41BA"/>
    <w:rsid w:val="009E41E2"/>
    <w:rsid w:val="009F12EE"/>
    <w:rsid w:val="009F4651"/>
    <w:rsid w:val="009F616D"/>
    <w:rsid w:val="00A02D70"/>
    <w:rsid w:val="00A048CE"/>
    <w:rsid w:val="00A04E2C"/>
    <w:rsid w:val="00A16B84"/>
    <w:rsid w:val="00A219EB"/>
    <w:rsid w:val="00A22460"/>
    <w:rsid w:val="00A265CE"/>
    <w:rsid w:val="00A30EA5"/>
    <w:rsid w:val="00A3175C"/>
    <w:rsid w:val="00A3616B"/>
    <w:rsid w:val="00A41BFE"/>
    <w:rsid w:val="00A4657E"/>
    <w:rsid w:val="00A47308"/>
    <w:rsid w:val="00A652BC"/>
    <w:rsid w:val="00A75F88"/>
    <w:rsid w:val="00A81D74"/>
    <w:rsid w:val="00A85A01"/>
    <w:rsid w:val="00A868EA"/>
    <w:rsid w:val="00A931FD"/>
    <w:rsid w:val="00A955DB"/>
    <w:rsid w:val="00AA2BE6"/>
    <w:rsid w:val="00AC7F2B"/>
    <w:rsid w:val="00AD06AD"/>
    <w:rsid w:val="00AD42FA"/>
    <w:rsid w:val="00AD7D12"/>
    <w:rsid w:val="00AE20C3"/>
    <w:rsid w:val="00AE366E"/>
    <w:rsid w:val="00AE4AC0"/>
    <w:rsid w:val="00AE738B"/>
    <w:rsid w:val="00AF1609"/>
    <w:rsid w:val="00AF5E7B"/>
    <w:rsid w:val="00AF6624"/>
    <w:rsid w:val="00AF6D76"/>
    <w:rsid w:val="00B00A46"/>
    <w:rsid w:val="00B05376"/>
    <w:rsid w:val="00B062D4"/>
    <w:rsid w:val="00B103BD"/>
    <w:rsid w:val="00B108B3"/>
    <w:rsid w:val="00B127DE"/>
    <w:rsid w:val="00B2086E"/>
    <w:rsid w:val="00B20EDD"/>
    <w:rsid w:val="00B25F20"/>
    <w:rsid w:val="00B31A03"/>
    <w:rsid w:val="00B33107"/>
    <w:rsid w:val="00B333ED"/>
    <w:rsid w:val="00B334AF"/>
    <w:rsid w:val="00B35AEE"/>
    <w:rsid w:val="00B378BC"/>
    <w:rsid w:val="00B4201F"/>
    <w:rsid w:val="00B4594C"/>
    <w:rsid w:val="00B50B21"/>
    <w:rsid w:val="00B56E7C"/>
    <w:rsid w:val="00B60F72"/>
    <w:rsid w:val="00B65296"/>
    <w:rsid w:val="00B67475"/>
    <w:rsid w:val="00B70BED"/>
    <w:rsid w:val="00B8287E"/>
    <w:rsid w:val="00B84D5A"/>
    <w:rsid w:val="00B875DB"/>
    <w:rsid w:val="00B92185"/>
    <w:rsid w:val="00BA10D0"/>
    <w:rsid w:val="00BA2921"/>
    <w:rsid w:val="00BA73F1"/>
    <w:rsid w:val="00BB21A2"/>
    <w:rsid w:val="00BB3188"/>
    <w:rsid w:val="00BB58D6"/>
    <w:rsid w:val="00BB5E72"/>
    <w:rsid w:val="00BC119A"/>
    <w:rsid w:val="00BD06EB"/>
    <w:rsid w:val="00BD449D"/>
    <w:rsid w:val="00BD49CE"/>
    <w:rsid w:val="00BE4BE9"/>
    <w:rsid w:val="00BE7A2F"/>
    <w:rsid w:val="00BF5491"/>
    <w:rsid w:val="00C00BB3"/>
    <w:rsid w:val="00C0276F"/>
    <w:rsid w:val="00C11C2E"/>
    <w:rsid w:val="00C11CD4"/>
    <w:rsid w:val="00C127D5"/>
    <w:rsid w:val="00C13B65"/>
    <w:rsid w:val="00C166E0"/>
    <w:rsid w:val="00C2731B"/>
    <w:rsid w:val="00C31466"/>
    <w:rsid w:val="00C32596"/>
    <w:rsid w:val="00C351A6"/>
    <w:rsid w:val="00C3591C"/>
    <w:rsid w:val="00C35A11"/>
    <w:rsid w:val="00C40DF2"/>
    <w:rsid w:val="00C41189"/>
    <w:rsid w:val="00C43467"/>
    <w:rsid w:val="00C4493E"/>
    <w:rsid w:val="00C46AAE"/>
    <w:rsid w:val="00C56149"/>
    <w:rsid w:val="00C65A57"/>
    <w:rsid w:val="00C65C39"/>
    <w:rsid w:val="00C671B0"/>
    <w:rsid w:val="00C719B9"/>
    <w:rsid w:val="00C72035"/>
    <w:rsid w:val="00C75817"/>
    <w:rsid w:val="00C84AE1"/>
    <w:rsid w:val="00C84E30"/>
    <w:rsid w:val="00C87035"/>
    <w:rsid w:val="00C87552"/>
    <w:rsid w:val="00C90421"/>
    <w:rsid w:val="00C92B4A"/>
    <w:rsid w:val="00C9375B"/>
    <w:rsid w:val="00C955CC"/>
    <w:rsid w:val="00C957F6"/>
    <w:rsid w:val="00C95FAB"/>
    <w:rsid w:val="00CB2300"/>
    <w:rsid w:val="00CB4470"/>
    <w:rsid w:val="00CC09CD"/>
    <w:rsid w:val="00CC3F02"/>
    <w:rsid w:val="00CC62EF"/>
    <w:rsid w:val="00CC6B79"/>
    <w:rsid w:val="00CD0537"/>
    <w:rsid w:val="00CE0683"/>
    <w:rsid w:val="00CE21A3"/>
    <w:rsid w:val="00CE2F88"/>
    <w:rsid w:val="00CE4492"/>
    <w:rsid w:val="00CE678A"/>
    <w:rsid w:val="00CF0119"/>
    <w:rsid w:val="00CF0B12"/>
    <w:rsid w:val="00CF3616"/>
    <w:rsid w:val="00CF62C1"/>
    <w:rsid w:val="00D002B5"/>
    <w:rsid w:val="00D0037D"/>
    <w:rsid w:val="00D01595"/>
    <w:rsid w:val="00D0741D"/>
    <w:rsid w:val="00D07C53"/>
    <w:rsid w:val="00D11D5B"/>
    <w:rsid w:val="00D123CD"/>
    <w:rsid w:val="00D24101"/>
    <w:rsid w:val="00D36D45"/>
    <w:rsid w:val="00D409F7"/>
    <w:rsid w:val="00D51E2A"/>
    <w:rsid w:val="00D60F51"/>
    <w:rsid w:val="00D61164"/>
    <w:rsid w:val="00D620B9"/>
    <w:rsid w:val="00D66BEF"/>
    <w:rsid w:val="00D67AB7"/>
    <w:rsid w:val="00D70379"/>
    <w:rsid w:val="00D74AA9"/>
    <w:rsid w:val="00D75AB6"/>
    <w:rsid w:val="00D76ACB"/>
    <w:rsid w:val="00D91279"/>
    <w:rsid w:val="00DA1257"/>
    <w:rsid w:val="00DA72EE"/>
    <w:rsid w:val="00DA7A0D"/>
    <w:rsid w:val="00DB7B50"/>
    <w:rsid w:val="00DC151E"/>
    <w:rsid w:val="00DC1CE9"/>
    <w:rsid w:val="00DC2997"/>
    <w:rsid w:val="00DC798E"/>
    <w:rsid w:val="00DC7AFE"/>
    <w:rsid w:val="00DD0C5D"/>
    <w:rsid w:val="00DD18D1"/>
    <w:rsid w:val="00DD1A4E"/>
    <w:rsid w:val="00DD2000"/>
    <w:rsid w:val="00DD2AFF"/>
    <w:rsid w:val="00DD4556"/>
    <w:rsid w:val="00DD4662"/>
    <w:rsid w:val="00DE01C3"/>
    <w:rsid w:val="00DE3457"/>
    <w:rsid w:val="00DE5A68"/>
    <w:rsid w:val="00DE5CB6"/>
    <w:rsid w:val="00DE7E9D"/>
    <w:rsid w:val="00DE7F7A"/>
    <w:rsid w:val="00DF0E88"/>
    <w:rsid w:val="00DF1407"/>
    <w:rsid w:val="00E004E6"/>
    <w:rsid w:val="00E005D1"/>
    <w:rsid w:val="00E03604"/>
    <w:rsid w:val="00E1092A"/>
    <w:rsid w:val="00E22388"/>
    <w:rsid w:val="00E25643"/>
    <w:rsid w:val="00E355FF"/>
    <w:rsid w:val="00E425FE"/>
    <w:rsid w:val="00E45345"/>
    <w:rsid w:val="00E466CF"/>
    <w:rsid w:val="00E5151B"/>
    <w:rsid w:val="00E64162"/>
    <w:rsid w:val="00E711B1"/>
    <w:rsid w:val="00E7139F"/>
    <w:rsid w:val="00E77E8C"/>
    <w:rsid w:val="00E825BC"/>
    <w:rsid w:val="00E83662"/>
    <w:rsid w:val="00E91FF1"/>
    <w:rsid w:val="00E9225A"/>
    <w:rsid w:val="00E93723"/>
    <w:rsid w:val="00E94829"/>
    <w:rsid w:val="00EA189F"/>
    <w:rsid w:val="00EB5D45"/>
    <w:rsid w:val="00EB7CCE"/>
    <w:rsid w:val="00EC06B7"/>
    <w:rsid w:val="00EC1707"/>
    <w:rsid w:val="00EC3532"/>
    <w:rsid w:val="00EC7030"/>
    <w:rsid w:val="00ED463C"/>
    <w:rsid w:val="00ED58A3"/>
    <w:rsid w:val="00ED7EB5"/>
    <w:rsid w:val="00EF229E"/>
    <w:rsid w:val="00F103E9"/>
    <w:rsid w:val="00F119A4"/>
    <w:rsid w:val="00F13B17"/>
    <w:rsid w:val="00F14094"/>
    <w:rsid w:val="00F1416C"/>
    <w:rsid w:val="00F15391"/>
    <w:rsid w:val="00F175B5"/>
    <w:rsid w:val="00F20430"/>
    <w:rsid w:val="00F23C57"/>
    <w:rsid w:val="00F32C96"/>
    <w:rsid w:val="00F32E96"/>
    <w:rsid w:val="00F35467"/>
    <w:rsid w:val="00F36AAE"/>
    <w:rsid w:val="00F41338"/>
    <w:rsid w:val="00F430D6"/>
    <w:rsid w:val="00F440A5"/>
    <w:rsid w:val="00F452E3"/>
    <w:rsid w:val="00F5094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659E"/>
    <w:rsid w:val="00FA26B2"/>
    <w:rsid w:val="00FA5FB8"/>
    <w:rsid w:val="00FB0D11"/>
    <w:rsid w:val="00FB3A99"/>
    <w:rsid w:val="00FB5EEE"/>
    <w:rsid w:val="00FB789E"/>
    <w:rsid w:val="00FB7F79"/>
    <w:rsid w:val="00FC05A0"/>
    <w:rsid w:val="00FD0480"/>
    <w:rsid w:val="00FE34B9"/>
    <w:rsid w:val="00FE3F5F"/>
    <w:rsid w:val="00FE7203"/>
    <w:rsid w:val="00FF0054"/>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B8838-CEC3-4DAA-BE14-1E1BA49B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7382</Words>
  <Characters>42081</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44</cp:revision>
  <cp:lastPrinted>2013-10-17T15:05:00Z</cp:lastPrinted>
  <dcterms:created xsi:type="dcterms:W3CDTF">2013-10-14T10:54:00Z</dcterms:created>
  <dcterms:modified xsi:type="dcterms:W3CDTF">2013-10-24T07:28:00Z</dcterms:modified>
</cp:coreProperties>
</file>